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themeColor="text1"/>
          <w:sz w:val="44"/>
          <w:szCs w:val="44"/>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w:t>
      </w:r>
    </w:p>
    <w:p>
      <w:pPr>
        <w:jc w:val="center"/>
        <w:rPr>
          <w:rFonts w:hint="eastAsia" w:ascii="仿宋" w:hAnsi="仿宋" w:eastAsia="仿宋"/>
          <w:b/>
          <w:color w:val="000000" w:themeColor="text1"/>
          <w:sz w:val="21"/>
          <w:szCs w:val="21"/>
          <w14:textFill>
            <w14:solidFill>
              <w14:schemeClr w14:val="tx1"/>
            </w14:solidFill>
          </w14:textFill>
        </w:rPr>
      </w:pPr>
      <w:bookmarkStart w:id="0" w:name="_GoBack"/>
      <w:r>
        <w:rPr>
          <w:rFonts w:hint="eastAsia" w:ascii="仿宋" w:hAnsi="仿宋" w:eastAsia="仿宋"/>
          <w:b/>
          <w:color w:val="000000" w:themeColor="text1"/>
          <w:sz w:val="44"/>
          <w:szCs w:val="44"/>
          <w:lang w:val="en-US" w:eastAsia="zh-CN"/>
          <w14:textFill>
            <w14:solidFill>
              <w14:schemeClr w14:val="tx1"/>
            </w14:solidFill>
          </w14:textFill>
        </w:rPr>
        <w:t>温州大学瓯江学院</w:t>
      </w:r>
      <w:r>
        <w:rPr>
          <w:rFonts w:hint="eastAsia" w:ascii="仿宋" w:hAnsi="仿宋" w:eastAsia="仿宋"/>
          <w:b/>
          <w:color w:val="000000" w:themeColor="text1"/>
          <w:sz w:val="44"/>
          <w:szCs w:val="44"/>
          <w14:textFill>
            <w14:solidFill>
              <w14:schemeClr w14:val="tx1"/>
            </w14:solidFill>
          </w14:textFill>
        </w:rPr>
        <w:t>第</w:t>
      </w:r>
      <w:r>
        <w:rPr>
          <w:rFonts w:hint="eastAsia" w:ascii="仿宋" w:hAnsi="仿宋" w:eastAsia="仿宋"/>
          <w:b/>
          <w:color w:val="000000" w:themeColor="text1"/>
          <w:sz w:val="44"/>
          <w:szCs w:val="44"/>
          <w:lang w:eastAsia="zh-CN"/>
          <w14:textFill>
            <w14:solidFill>
              <w14:schemeClr w14:val="tx1"/>
            </w14:solidFill>
          </w14:textFill>
        </w:rPr>
        <w:t>九</w:t>
      </w:r>
      <w:r>
        <w:rPr>
          <w:rFonts w:hint="eastAsia" w:ascii="仿宋" w:hAnsi="仿宋" w:eastAsia="仿宋"/>
          <w:b/>
          <w:color w:val="000000" w:themeColor="text1"/>
          <w:sz w:val="44"/>
          <w:szCs w:val="44"/>
          <w14:textFill>
            <w14:solidFill>
              <w14:schemeClr w14:val="tx1"/>
            </w14:solidFill>
          </w14:textFill>
        </w:rPr>
        <w:t>届优秀学生会考评细则</w:t>
      </w:r>
    </w:p>
    <w:bookmarkEnd w:id="0"/>
    <w:p>
      <w:pPr>
        <w:jc w:val="center"/>
        <w:rPr>
          <w:rFonts w:hint="eastAsia" w:ascii="仿宋" w:hAnsi="仿宋" w:eastAsia="仿宋"/>
          <w:b/>
          <w:color w:val="000000" w:themeColor="text1"/>
          <w:sz w:val="21"/>
          <w:szCs w:val="21"/>
          <w14:textFill>
            <w14:solidFill>
              <w14:schemeClr w14:val="tx1"/>
            </w14:solidFill>
          </w14:textFill>
        </w:rPr>
      </w:pPr>
    </w:p>
    <w:tbl>
      <w:tblPr>
        <w:tblStyle w:val="3"/>
        <w:tblpPr w:leftFromText="180" w:rightFromText="180" w:vertAnchor="text" w:horzAnchor="page" w:tblpX="1563" w:tblpY="57"/>
        <w:tblOverlap w:val="never"/>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06"/>
        <w:gridCol w:w="4610"/>
        <w:gridCol w:w="1120"/>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一级</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指标</w:t>
            </w:r>
          </w:p>
        </w:tc>
        <w:tc>
          <w:tcPr>
            <w:tcW w:w="110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w:t>
            </w:r>
          </w:p>
        </w:tc>
        <w:tc>
          <w:tcPr>
            <w:tcW w:w="461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要求及评分标准</w:t>
            </w:r>
          </w:p>
        </w:tc>
        <w:tc>
          <w:tcPr>
            <w:tcW w:w="112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名称</w:t>
            </w:r>
          </w:p>
        </w:tc>
        <w:tc>
          <w:tcPr>
            <w:tcW w:w="65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要求及评分标准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思</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想</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育</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织</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p>
            <w:pPr>
              <w:jc w:val="center"/>
              <w:rPr>
                <w:rFonts w:ascii="宋体" w:hAnsi="宋体"/>
                <w:color w:val="000000" w:themeColor="text1"/>
                <w:szCs w:val="21"/>
                <w14:textFill>
                  <w14:solidFill>
                    <w14:schemeClr w14:val="tx1"/>
                  </w14:solidFill>
                </w14:textFill>
              </w:rPr>
            </w:pPr>
          </w:p>
        </w:tc>
        <w:tc>
          <w:tcPr>
            <w:tcW w:w="1106" w:type="dxa"/>
            <w:vAlign w:val="center"/>
          </w:tcPr>
          <w:p>
            <w:pPr>
              <w:ind w:left="210" w:hanging="210" w:hanging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二级指标</w:t>
            </w:r>
          </w:p>
          <w:p>
            <w:pPr>
              <w:ind w:left="210" w:hanging="210" w:hanging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（15分）</w:t>
            </w:r>
          </w:p>
        </w:tc>
        <w:tc>
          <w:tcPr>
            <w:tcW w:w="4610" w:type="dxa"/>
            <w:vAlign w:val="center"/>
          </w:tcPr>
          <w:p>
            <w:pPr>
              <w:ind w:left="210" w:hanging="210" w:hangingChars="100"/>
              <w:rPr>
                <w:rFonts w:ascii="宋体" w:hAnsi="宋体" w:cs="宋体"/>
                <w:color w:val="000000" w:themeColor="text1"/>
                <w:szCs w:val="21"/>
                <w14:textFill>
                  <w14:solidFill>
                    <w14:schemeClr w14:val="tx1"/>
                  </w14:solidFill>
                </w14:textFill>
              </w:rPr>
            </w:pP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1.重视学生干部理论学习，每学期开展主题教育活动；每学期组织学生干部培训。（3分）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2.学生会有专门的指导老师，学生会组织合理健全并按期换届。（3分）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学生会制度健全，管理规范。（5分）（注：制度健全主要考察学生会的各项制度是否成文，是否具有基本的财务管理制度，档案管理制度，评奖评优制度，值班签到等制度。管理规范主要体现在各项制度的实施情况，主要考察各学生会是否有完善的档案，是否有规范的运作等。）</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4.学生会各项工作有完整的计划与完善的总结。（2分）（注：包括学生会学期计划与学期总结）</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5.积极配合</w:t>
            </w:r>
            <w:r>
              <w:rPr>
                <w:rFonts w:hint="eastAsia" w:ascii="宋体" w:hAnsi="宋体" w:cs="宋体"/>
                <w:color w:val="000000" w:themeColor="text1"/>
                <w:szCs w:val="21"/>
                <w:lang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级学生组织做好各项工作。（2分）</w:t>
            </w:r>
          </w:p>
          <w:p>
            <w:pPr>
              <w:ind w:left="210" w:hanging="210" w:hangingChars="100"/>
              <w:rPr>
                <w:rFonts w:ascii="宋体" w:hAnsi="宋体" w:cs="宋体"/>
                <w:color w:val="000000" w:themeColor="text1"/>
                <w:szCs w:val="21"/>
                <w14:textFill>
                  <w14:solidFill>
                    <w14:schemeClr w14:val="tx1"/>
                  </w14:solidFill>
                </w14:textFill>
              </w:rPr>
            </w:pPr>
          </w:p>
        </w:tc>
        <w:tc>
          <w:tcPr>
            <w:tcW w:w="1120" w:type="dxa"/>
            <w:vAlign w:val="center"/>
          </w:tcPr>
          <w:p>
            <w:pPr>
              <w:ind w:left="210" w:hanging="210" w:hangingChars="1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加分项目</w:t>
            </w:r>
          </w:p>
          <w:p>
            <w:pPr>
              <w:ind w:left="210" w:hanging="210" w:hangingChars="100"/>
              <w:jc w:val="center"/>
              <w:rPr>
                <w:rFonts w:hint="eastAsia" w:ascii="宋体" w:hAnsi="宋体" w:eastAsia="宋体" w:cs="宋体"/>
                <w:color w:val="000000" w:themeColor="text1"/>
                <w:szCs w:val="21"/>
                <w:lang w:eastAsia="zh-CN"/>
                <w14:textFill>
                  <w14:solidFill>
                    <w14:schemeClr w14:val="tx1"/>
                  </w14:solidFill>
                </w14:textFill>
              </w:rPr>
            </w:pPr>
          </w:p>
        </w:tc>
        <w:tc>
          <w:tcPr>
            <w:tcW w:w="6552" w:type="dxa"/>
            <w:vAlign w:val="center"/>
          </w:tcPr>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1.各</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学生会主席及部长参加</w:t>
            </w:r>
            <w:r>
              <w:rPr>
                <w:rFonts w:hint="eastAsia" w:ascii="宋体" w:hAnsi="宋体" w:cs="宋体"/>
                <w:color w:val="000000" w:themeColor="text1"/>
                <w:szCs w:val="21"/>
                <w:lang w:val="en-US"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级学生组织工作会议及活动总出勤率达90%以上。（加1分）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2.各学生会在整个学年中上交各种资料及时、完整；评优操作规范、材料上报及时完整。（加2分）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3.积极推荐学生会成员进</w:t>
            </w:r>
            <w:r>
              <w:rPr>
                <w:rFonts w:hint="eastAsia" w:ascii="宋体" w:hAnsi="宋体" w:cs="宋体"/>
                <w:color w:val="000000" w:themeColor="text1"/>
                <w:szCs w:val="21"/>
                <w:lang w:val="en-US"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级学生组织并担任副部长及以上职务。（每一名加0.</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分，此项加分不超过1分）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4.学生会或学生会成员获得国家、省、市级表彰分别加4、3、2分。（此项加分不超过9分）（注：包括先进事迹受表彰，如获“优秀学生干部”、“先进个人”、“五四红旗团委”、“优秀暑期社会实践队”等）</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学生在国家、省、市、校级刊物上发表有关思想教育与组织建设的文章分别加4、3、2、1分。（此项加分不得超过9分）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6.学生会成员为预备党员和党员的在学生会所有成员中按所占比例达到10%以上的加3分，5%到10%的加2分，5%以内的加1分。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7.在重大传统节日、纪念日、开展形式多样的纪念活动，并起到相应的引导作用。（加2分）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风</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（30分）</w:t>
            </w:r>
          </w:p>
          <w:p>
            <w:pPr>
              <w:jc w:val="center"/>
              <w:rPr>
                <w:color w:val="000000" w:themeColor="text1"/>
                <w14:textFill>
                  <w14:solidFill>
                    <w14:schemeClr w14:val="tx1"/>
                  </w14:solidFill>
                </w14:textFill>
              </w:rPr>
            </w:pPr>
          </w:p>
        </w:tc>
        <w:tc>
          <w:tcPr>
            <w:tcW w:w="1106"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二级指标</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（20分）</w:t>
            </w:r>
          </w:p>
        </w:tc>
        <w:tc>
          <w:tcPr>
            <w:tcW w:w="4610" w:type="dxa"/>
          </w:tcPr>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1.学生会成员在学习中起带头作用，学生会成员无挂科情况（4分），挂科成员比例占0%—5%（3分），5%—10%（2分），10%以上(1分)。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2.持续、全面、系统地开展学风建设活动。（6分）（注：可开展长期的学风建设活动，如早晚自习检查等或有计划地开展单个活动，并形成完善的档案供查阅）</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3.纪检工作考核中，根据</w:t>
            </w:r>
            <w:r>
              <w:rPr>
                <w:rFonts w:hint="eastAsia" w:ascii="宋体" w:hAnsi="宋体" w:cs="宋体"/>
                <w:color w:val="000000" w:themeColor="text1"/>
                <w:szCs w:val="21"/>
                <w:lang w:eastAsia="zh-CN"/>
                <w14:textFill>
                  <w14:solidFill>
                    <w14:schemeClr w14:val="tx1"/>
                  </w14:solidFill>
                </w14:textFill>
              </w:rPr>
              <w:t>阳光学风工作组</w:t>
            </w:r>
            <w:r>
              <w:rPr>
                <w:rFonts w:hint="eastAsia" w:ascii="宋体" w:hAnsi="宋体" w:cs="宋体"/>
                <w:color w:val="000000" w:themeColor="text1"/>
                <w:szCs w:val="21"/>
                <w14:textFill>
                  <w14:solidFill>
                    <w14:schemeClr w14:val="tx1"/>
                  </w14:solidFill>
                </w14:textFill>
              </w:rPr>
              <w:t>的年终统一结果排名。（注：取前</w:t>
            </w:r>
            <w:r>
              <w:rPr>
                <w:rFonts w:hint="eastAsia" w:ascii="宋体" w:hAnsi="宋体" w:cs="宋体"/>
                <w:color w:val="000000" w:themeColor="text1"/>
                <w:szCs w:val="21"/>
                <w:lang w:eastAsia="zh-CN"/>
                <w14:textFill>
                  <w14:solidFill>
                    <w14:schemeClr w14:val="tx1"/>
                  </w14:solidFill>
                </w14:textFill>
              </w:rPr>
              <w:t>三</w:t>
            </w:r>
            <w:r>
              <w:rPr>
                <w:rFonts w:hint="eastAsia" w:ascii="宋体" w:hAnsi="宋体" w:cs="宋体"/>
                <w:color w:val="000000" w:themeColor="text1"/>
                <w:szCs w:val="21"/>
                <w14:textFill>
                  <w14:solidFill>
                    <w14:schemeClr w14:val="tx1"/>
                  </w14:solidFill>
                </w14:textFill>
              </w:rPr>
              <w:t>，按2：3：5分别得5、4、3分，</w:t>
            </w:r>
            <w:r>
              <w:rPr>
                <w:rFonts w:hint="eastAsia" w:ascii="宋体" w:hAnsi="宋体" w:cs="宋体"/>
                <w:color w:val="000000" w:themeColor="text1"/>
                <w:szCs w:val="21"/>
                <w:lang w:eastAsia="zh-CN"/>
                <w14:textFill>
                  <w14:solidFill>
                    <w14:schemeClr w14:val="tx1"/>
                  </w14:solidFill>
                </w14:textFill>
              </w:rPr>
              <w:t>三</w:t>
            </w:r>
            <w:r>
              <w:rPr>
                <w:rFonts w:hint="eastAsia" w:ascii="宋体" w:hAnsi="宋体" w:cs="宋体"/>
                <w:color w:val="000000" w:themeColor="text1"/>
                <w:szCs w:val="21"/>
                <w14:textFill>
                  <w14:solidFill>
                    <w14:schemeClr w14:val="tx1"/>
                  </w14:solidFill>
                </w14:textFill>
              </w:rPr>
              <w:t>名以外加2分）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4.开展形式多样的学术与科技活动。（6分）（注：如学术讲座、报告会或与专业相关的技能比赛等，并注明其专业性）</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5.积极协调</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科研立项与结题，结题率在70%及以上得4分，在50%及以上得3分，低于50%均得2分。</w:t>
            </w:r>
          </w:p>
        </w:tc>
        <w:tc>
          <w:tcPr>
            <w:tcW w:w="1120" w:type="dxa"/>
            <w:vAlign w:val="center"/>
          </w:tcPr>
          <w:p>
            <w:pPr>
              <w:ind w:left="210" w:hanging="210" w:hangingChars="1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加分项目</w:t>
            </w:r>
          </w:p>
          <w:p>
            <w:pPr>
              <w:ind w:left="210" w:hanging="210" w:hangingChars="100"/>
              <w:jc w:val="center"/>
              <w:rPr>
                <w:rFonts w:hint="eastAsia" w:ascii="宋体" w:hAnsi="宋体" w:eastAsia="宋体" w:cs="宋体"/>
                <w:color w:val="000000" w:themeColor="text1"/>
                <w:szCs w:val="21"/>
                <w:lang w:eastAsia="zh-CN"/>
                <w14:textFill>
                  <w14:solidFill>
                    <w14:schemeClr w14:val="tx1"/>
                  </w14:solidFill>
                </w14:textFill>
              </w:rPr>
            </w:pPr>
          </w:p>
        </w:tc>
        <w:tc>
          <w:tcPr>
            <w:tcW w:w="6552" w:type="dxa"/>
          </w:tcPr>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学生在国家、省级、市级刊物发表学术论文,一篇分别加0.4、0.3、0.2分。（此加分不超过5分）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2.积极承办</w:t>
            </w:r>
            <w:r>
              <w:rPr>
                <w:rFonts w:hint="eastAsia" w:ascii="宋体" w:hAnsi="宋体" w:cs="宋体"/>
                <w:color w:val="000000" w:themeColor="text1"/>
                <w:szCs w:val="21"/>
                <w:lang w:val="en-US"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级学术性活动，表现优异。（每项加1分，此项加分不超过3分）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3.积极组织并开展学术论文报告会，并有制定成册的论文刊物。（加2分）（注：学术论文报告会必须有非毕业生参加，且论文刊物中必须包括非毕业生的作品。）</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学生干部示范作用好，智育成绩为所在班级的前60%的人数占学生会总人数80%及以上得4分，占学生会总人数60%及以上得3分，占学生会总人数40%及以上得2分，占学生会总人数40%以下的均得1分。（注：请统计好所有学生会成员的部门、姓名、班级、联系方式、在班级中的排名如5/30。）</w:t>
            </w:r>
          </w:p>
          <w:p>
            <w:pPr>
              <w:ind w:left="210" w:hanging="210" w:hanging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学生在涉及学术科技类活动中获国家、省级、市级奖项的分别加0.4、0.3、0.2分。（团体减半，且同类型奖项按最高级别加分，此加分不超过5分）（注：包括各类学科竞赛、论文比赛、“挑战杯”大学生课外学术科技作品竞赛和“挑战杯”大学生创业计划竞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trPr>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宣</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络</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w:t>
            </w:r>
          </w:p>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（20分）</w:t>
            </w:r>
          </w:p>
        </w:tc>
        <w:tc>
          <w:tcPr>
            <w:tcW w:w="1106" w:type="dxa"/>
            <w:vAlign w:val="center"/>
          </w:tcPr>
          <w:p>
            <w:pPr>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二级指标</w:t>
            </w:r>
          </w:p>
          <w:p>
            <w:pPr>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（15分）</w:t>
            </w:r>
          </w:p>
        </w:tc>
        <w:tc>
          <w:tcPr>
            <w:tcW w:w="4610" w:type="dxa"/>
          </w:tcPr>
          <w:p>
            <w:pPr>
              <w:ind w:left="210" w:hanging="210" w:hangingChars="100"/>
              <w:rPr>
                <w:rFonts w:hint="eastAsia" w:ascii="宋体" w:hAnsi="宋体" w:cs="宋体"/>
                <w:color w:val="000000" w:themeColor="text1"/>
                <w:szCs w:val="21"/>
                <w14:textFill>
                  <w14:solidFill>
                    <w14:schemeClr w14:val="tx1"/>
                  </w14:solidFill>
                </w14:textFill>
              </w:rPr>
            </w:pPr>
          </w:p>
          <w:p>
            <w:pPr>
              <w:ind w:left="210" w:hanging="210" w:hangingChars="100"/>
              <w:rPr>
                <w:rFonts w:hint="eastAsia" w:ascii="宋体" w:hAnsi="宋体" w:cs="宋体"/>
                <w:color w:val="000000" w:themeColor="text1"/>
                <w:szCs w:val="21"/>
                <w14:textFill>
                  <w14:solidFill>
                    <w14:schemeClr w14:val="tx1"/>
                  </w14:solidFill>
                </w14:textFill>
              </w:rPr>
            </w:pP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1.利用微博、微信等新媒体平台积极宣传团学工作；及时更新学生会动态信息，且通讯稿和照片质量较优。（4分）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2.高效良好地开展“青年之声”活动。（8分）</w:t>
            </w:r>
          </w:p>
          <w:p>
            <w:pPr>
              <w:ind w:left="21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3.积极生产深受大学生喜爱的网络文化产品，并在大学生群体中形成巨大的正能量效应。（3分）</w:t>
            </w:r>
          </w:p>
        </w:tc>
        <w:tc>
          <w:tcPr>
            <w:tcW w:w="1120" w:type="dxa"/>
            <w:vAlign w:val="center"/>
          </w:tcPr>
          <w:p>
            <w:pPr>
              <w:ind w:left="210" w:hanging="210" w:hangingChars="1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加分项目</w:t>
            </w:r>
          </w:p>
          <w:p>
            <w:pPr>
              <w:ind w:left="210" w:hanging="210" w:hangingChars="10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6552" w:type="dxa"/>
            <w:vAlign w:val="center"/>
          </w:tcPr>
          <w:p>
            <w:pPr>
              <w:numPr>
                <w:ilvl w:val="0"/>
                <w:numId w:val="1"/>
              </w:numPr>
              <w:ind w:left="210" w:hanging="210" w:hangingChars="1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活动受到市级以上媒体报道5次及以上加3分，3次及以上加2分。（注：报道的渠道主要为网络、电视和报纸，执行报道者必须是公</w:t>
            </w:r>
          </w:p>
          <w:p>
            <w:pPr>
              <w:numPr>
                <w:ilvl w:val="0"/>
                <w:numId w:val="0"/>
              </w:numPr>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刊的媒体，</w:t>
            </w:r>
            <w:r>
              <w:rPr>
                <w:rFonts w:hint="eastAsia" w:ascii="宋体" w:hAnsi="宋体" w:cs="宋体"/>
                <w:color w:val="000000" w:themeColor="text1"/>
                <w:szCs w:val="21"/>
                <w14:textFill>
                  <w14:solidFill>
                    <w14:schemeClr w14:val="tx1"/>
                  </w14:solidFill>
                </w14:textFill>
              </w:rPr>
              <w:t>内部刊物除外。）</w:t>
            </w:r>
          </w:p>
          <w:p>
            <w:pPr>
              <w:numPr>
                <w:ilvl w:val="0"/>
                <w:numId w:val="0"/>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有</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团学刊物或</w:t>
            </w:r>
            <w:r>
              <w:rPr>
                <w:rFonts w:hint="eastAsia" w:ascii="宋体" w:hAnsi="宋体" w:cs="宋体"/>
                <w:color w:val="000000" w:themeColor="text1"/>
                <w:szCs w:val="21"/>
                <w:lang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专属新媒体平台加1分。（此项加分不超过2分）（注：刊物指由</w:t>
            </w:r>
            <w:r>
              <w:rPr>
                <w:rFonts w:hint="eastAsia" w:ascii="宋体" w:hAnsi="宋体" w:cs="宋体"/>
                <w:color w:val="000000" w:themeColor="text1"/>
                <w:szCs w:val="21"/>
                <w:lang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学生会定期发布，面向全</w:t>
            </w:r>
            <w:r>
              <w:rPr>
                <w:rFonts w:hint="eastAsia" w:ascii="宋体" w:hAnsi="宋体" w:cs="宋体"/>
                <w:color w:val="000000" w:themeColor="text1"/>
                <w:szCs w:val="21"/>
                <w:lang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发行的有期刊号的合法刊物。）</w:t>
            </w:r>
          </w:p>
          <w:p>
            <w:pPr>
              <w:numPr>
                <w:ilvl w:val="0"/>
                <w:numId w:val="1"/>
              </w:numPr>
              <w:ind w:left="210" w:leftChars="0" w:hanging="210" w:hanging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稿件被</w:t>
            </w:r>
            <w:r>
              <w:rPr>
                <w:rFonts w:hint="eastAsia" w:ascii="宋体" w:hAnsi="宋体" w:cs="宋体"/>
                <w:color w:val="000000" w:themeColor="text1"/>
                <w:szCs w:val="21"/>
                <w:lang w:val="en-US"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级网站、</w:t>
            </w:r>
            <w:r>
              <w:rPr>
                <w:rFonts w:hint="eastAsia" w:ascii="宋体" w:hAnsi="宋体" w:cs="宋体"/>
                <w:color w:val="000000" w:themeColor="text1"/>
                <w:szCs w:val="21"/>
                <w:lang w:val="en-US"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级新媒体平台（</w:t>
            </w:r>
            <w:r>
              <w:rPr>
                <w:rFonts w:hint="eastAsia" w:ascii="宋体" w:hAnsi="宋体" w:cs="宋体"/>
                <w:color w:val="000000" w:themeColor="text1"/>
                <w:szCs w:val="21"/>
                <w:lang w:val="en-US" w:eastAsia="zh-CN"/>
                <w14:textFill>
                  <w14:solidFill>
                    <w14:schemeClr w14:val="tx1"/>
                  </w14:solidFill>
                </w14:textFill>
              </w:rPr>
              <w:t>温州大学瓯江学院</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瓯江</w:t>
            </w:r>
            <w:r>
              <w:rPr>
                <w:rFonts w:hint="eastAsia" w:ascii="宋体" w:hAnsi="宋体" w:cs="宋体"/>
                <w:color w:val="000000" w:themeColor="text1"/>
                <w:szCs w:val="21"/>
                <w14:textFill>
                  <w14:solidFill>
                    <w14:schemeClr w14:val="tx1"/>
                  </w14:solidFill>
                </w14:textFill>
              </w:rPr>
              <w:t>青年）</w:t>
            </w:r>
          </w:p>
          <w:p>
            <w:pPr>
              <w:numPr>
                <w:ilvl w:val="0"/>
                <w:numId w:val="0"/>
              </w:numPr>
              <w:ind w:left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录用一篇加0.1分。（此项加分不超过2分）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园</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文</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体</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活</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w:t>
            </w:r>
          </w:p>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（15分）</w:t>
            </w:r>
          </w:p>
        </w:tc>
        <w:tc>
          <w:tcPr>
            <w:tcW w:w="110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二级指标</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610" w:type="dxa"/>
            <w:vAlign w:val="center"/>
          </w:tcPr>
          <w:p>
            <w:pPr>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1.开展丰富多样的校园文体活动。（2分）</w:t>
            </w:r>
          </w:p>
          <w:p>
            <w:pPr>
              <w:ind w:left="210" w:hanging="210" w:hangingChars="100"/>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2.承包</w:t>
            </w:r>
            <w:r>
              <w:rPr>
                <w:rFonts w:hint="eastAsia" w:ascii="宋体" w:hAnsi="宋体" w:cs="宋体"/>
                <w:color w:val="000000" w:themeColor="text1"/>
                <w:szCs w:val="21"/>
                <w:lang w:val="en-US"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级文体类活动，成绩突出。(2分)</w:t>
            </w:r>
          </w:p>
          <w:p>
            <w:pPr>
              <w:ind w:left="210" w:hanging="210" w:hangingChars="100"/>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3.积极参与</w:t>
            </w:r>
            <w:r>
              <w:rPr>
                <w:rFonts w:hint="eastAsia" w:ascii="宋体" w:hAnsi="宋体" w:cs="宋体"/>
                <w:color w:val="000000" w:themeColor="text1"/>
                <w:szCs w:val="21"/>
                <w:lang w:val="en-US"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级文体类活动，包括大合唱、</w:t>
            </w:r>
            <w:r>
              <w:rPr>
                <w:rFonts w:hint="eastAsia" w:ascii="宋体" w:hAnsi="宋体" w:cs="宋体"/>
                <w:color w:val="000000" w:themeColor="text1"/>
                <w:szCs w:val="21"/>
                <w:lang w:eastAsia="zh-CN"/>
                <w14:textFill>
                  <w14:solidFill>
                    <w14:schemeClr w14:val="tx1"/>
                  </w14:solidFill>
                </w14:textFill>
              </w:rPr>
              <w:t>十佳</w:t>
            </w:r>
          </w:p>
          <w:p>
            <w:pPr>
              <w:ind w:left="210" w:hanging="210" w:hangingChars="100"/>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歌手大赛</w:t>
            </w:r>
            <w:r>
              <w:rPr>
                <w:rFonts w:hint="eastAsia" w:ascii="宋体" w:hAnsi="宋体" w:cs="宋体"/>
                <w:color w:val="000000" w:themeColor="text1"/>
                <w:szCs w:val="21"/>
                <w14:textFill>
                  <w14:solidFill>
                    <w14:schemeClr w14:val="tx1"/>
                  </w14:solidFill>
                </w14:textFill>
              </w:rPr>
              <w:t>、篮球赛等，表现优异。（3分）</w:t>
            </w:r>
          </w:p>
          <w:p>
            <w:pPr>
              <w:ind w:left="210" w:hanging="210" w:hangingChars="1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4.积极与兄弟</w:t>
            </w:r>
            <w:r>
              <w:rPr>
                <w:rFonts w:hint="eastAsia" w:ascii="宋体" w:hAnsi="宋体" w:cs="宋体"/>
                <w:color w:val="000000" w:themeColor="text1"/>
                <w:szCs w:val="21"/>
                <w:lang w:eastAsia="zh-CN"/>
                <w14:textFill>
                  <w14:solidFill>
                    <w14:schemeClr w14:val="tx1"/>
                  </w14:solidFill>
                </w14:textFill>
              </w:rPr>
              <w:t>院校</w:t>
            </w:r>
            <w:r>
              <w:rPr>
                <w:rFonts w:hint="eastAsia" w:ascii="宋体" w:hAnsi="宋体" w:cs="宋体"/>
                <w:color w:val="000000" w:themeColor="text1"/>
                <w:szCs w:val="21"/>
                <w14:textFill>
                  <w14:solidFill>
                    <w14:schemeClr w14:val="tx1"/>
                  </w14:solidFill>
                </w14:textFill>
              </w:rPr>
              <w:t>交流合作。（如共同举办活动</w:t>
            </w:r>
          </w:p>
          <w:p>
            <w:pPr>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等）（3分）</w:t>
            </w:r>
          </w:p>
        </w:tc>
        <w:tc>
          <w:tcPr>
            <w:tcW w:w="1120" w:type="dxa"/>
            <w:vAlign w:val="center"/>
          </w:tcPr>
          <w:p>
            <w:pPr>
              <w:ind w:left="210" w:hanging="210" w:hangingChars="1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加分项目</w:t>
            </w:r>
          </w:p>
          <w:p>
            <w:pPr>
              <w:ind w:left="210" w:hanging="210" w:hangingChars="100"/>
              <w:jc w:val="center"/>
              <w:rPr>
                <w:rFonts w:hint="eastAsia" w:ascii="宋体" w:hAnsi="宋体" w:eastAsia="宋体" w:cs="宋体"/>
                <w:color w:val="000000" w:themeColor="text1"/>
                <w:szCs w:val="21"/>
                <w:lang w:eastAsia="zh-CN"/>
                <w14:textFill>
                  <w14:solidFill>
                    <w14:schemeClr w14:val="tx1"/>
                  </w14:solidFill>
                </w14:textFill>
              </w:rPr>
            </w:pPr>
          </w:p>
        </w:tc>
        <w:tc>
          <w:tcPr>
            <w:tcW w:w="6552" w:type="dxa"/>
          </w:tcPr>
          <w:p>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学生参加全国、省、市级艺体比赛获奖，一项分别加0.4、0.3、0.2分。（团体减半，且同类型奖项按最高级别</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加分，此加分不超过</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2.在参加由学校组织的活动中能遵守纪律，确保人数，有专人负责，一次加1分。(此项加分不超过2分)（注：遵守纪律包括遵守校纪校规，举止文明，服从校方的一切安排。）</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独立组织文化节加2分。</w:t>
            </w:r>
          </w:p>
          <w:p>
            <w:pPr>
              <w:ind w:left="210" w:hanging="210" w:hanging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有举办校园文化节子活动，每个子活动加1分。（此项加分不超过2分）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762" w:type="dxa"/>
            <w:vAlign w:val="center"/>
          </w:tcPr>
          <w:p>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特色</w:t>
            </w:r>
          </w:p>
          <w:p>
            <w:pPr>
              <w:jc w:val="center"/>
              <w:rPr>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w:t>
            </w:r>
          </w:p>
        </w:tc>
        <w:tc>
          <w:tcPr>
            <w:tcW w:w="13388" w:type="dxa"/>
            <w:gridSpan w:val="4"/>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1.各</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至少提交一个具有鲜明</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特色的工作案例。案例文字描述详尽，并配合高质量的图片或视频。</w:t>
            </w:r>
          </w:p>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2.能够在</w:t>
            </w:r>
            <w:r>
              <w:rPr>
                <w:rFonts w:hint="eastAsia" w:ascii="宋体" w:hAnsi="宋体" w:cs="宋体"/>
                <w:color w:val="000000" w:themeColor="text1"/>
                <w:szCs w:val="21"/>
                <w:lang w:val="en-US" w:eastAsia="zh-CN"/>
                <w14:textFill>
                  <w14:solidFill>
                    <w14:schemeClr w14:val="tx1"/>
                  </w14:solidFill>
                </w14:textFill>
              </w:rPr>
              <w:t>院</w:t>
            </w:r>
            <w:r>
              <w:rPr>
                <w:rFonts w:hint="eastAsia" w:ascii="宋体" w:hAnsi="宋体" w:cs="宋体"/>
                <w:color w:val="000000" w:themeColor="text1"/>
                <w:szCs w:val="21"/>
                <w14:textFill>
                  <w14:solidFill>
                    <w14:schemeClr w14:val="tx1"/>
                  </w14:solidFill>
                </w14:textFill>
              </w:rPr>
              <w:t>级</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分院、直属系</w:t>
            </w:r>
            <w:r>
              <w:rPr>
                <w:rFonts w:hint="eastAsia" w:ascii="宋体" w:hAnsi="宋体" w:cs="宋体"/>
                <w:color w:val="000000" w:themeColor="text1"/>
                <w:szCs w:val="21"/>
                <w14:textFill>
                  <w14:solidFill>
                    <w14:schemeClr w14:val="tx1"/>
                  </w14:solidFill>
                </w14:textFill>
              </w:rPr>
              <w:t>级范围内有一定的影响力，并真正能对学生群体有正能量的、积极的效力。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62" w:type="dxa"/>
            <w:textDirection w:val="lrTb"/>
            <w:vAlign w:val="center"/>
          </w:tcPr>
          <w:p>
            <w:pPr>
              <w:jc w:val="center"/>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八大赛事</w:t>
            </w:r>
          </w:p>
        </w:tc>
        <w:tc>
          <w:tcPr>
            <w:tcW w:w="13388" w:type="dxa"/>
            <w:gridSpan w:val="4"/>
            <w:textDirection w:val="lrTb"/>
            <w:vAlign w:val="center"/>
          </w:tcPr>
          <w:p>
            <w:pPr>
              <w:jc w:val="both"/>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院运会、辩论赛、主持人大赛、星级评比、社会实践、迎新工作、团日观摩、活动配合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62" w:type="dxa"/>
            <w:textDirection w:val="lrTb"/>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优秀组织奖</w:t>
            </w:r>
          </w:p>
        </w:tc>
        <w:tc>
          <w:tcPr>
            <w:tcW w:w="13388" w:type="dxa"/>
            <w:gridSpan w:val="4"/>
            <w:textDirection w:val="lrTb"/>
            <w:vAlign w:val="center"/>
          </w:tcPr>
          <w:p>
            <w:pPr>
              <w:jc w:val="both"/>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除八大赛事以外，所有获得院级及以上的所有优秀组织奖奖项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762" w:type="dxa"/>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对各学生会工作满意度调查</w:t>
            </w:r>
          </w:p>
          <w:p>
            <w:pPr>
              <w:rPr>
                <w:color w:val="000000" w:themeColor="text1"/>
                <w14:textFill>
                  <w14:solidFill>
                    <w14:schemeClr w14:val="tx1"/>
                  </w14:solidFill>
                </w14:textFill>
              </w:rPr>
            </w:pPr>
          </w:p>
        </w:tc>
        <w:tc>
          <w:tcPr>
            <w:tcW w:w="13388" w:type="dxa"/>
            <w:gridSpan w:val="4"/>
            <w:vAlign w:val="center"/>
          </w:tcPr>
          <w:p>
            <w:pPr>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满意和比较满意比例达70%加10分，60%加9分，50%加8分，40%加7分，30%加6分，20%加5分，低于20%以2分计算。</w:t>
            </w:r>
          </w:p>
        </w:tc>
      </w:tr>
    </w:tbl>
    <w:p>
      <w:pPr>
        <w:rPr>
          <w:rFonts w:hint="eastAsia"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注：在此评选过程中若发现有弄虚作假、严重违背“公正、公平”原则的现象，经查实将取消该学生会参评</w:t>
      </w: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67676"/>
    <w:multiLevelType w:val="singleLevel"/>
    <w:tmpl w:val="58567676"/>
    <w:lvl w:ilvl="0" w:tentative="0">
      <w:start w:val="1"/>
      <w:numFmt w:val="decimal"/>
      <w:suff w:val="nothing"/>
      <w:lvlText w:val="%1."/>
      <w:lvlJc w:val="left"/>
    </w:lvl>
  </w:abstractNum>
  <w:abstractNum w:abstractNumId="1">
    <w:nsid w:val="58633F13"/>
    <w:multiLevelType w:val="singleLevel"/>
    <w:tmpl w:val="58633F1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15409"/>
    <w:rsid w:val="44F154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2017-01-04T03:20:00Z</dcterms:created>
  <dc:creator>admin</dc:creator>
  <cp:lastModifiedBy>admin</cp:lastModifiedBy>
  <dcterms:modified xsi:type="dcterms:W3CDTF">2017-01-04T03:20:56Z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